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2ACDD9F"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CB72B8">
        <w:rPr>
          <w:bCs/>
          <w:noProof w:val="0"/>
          <w:sz w:val="24"/>
          <w:szCs w:val="24"/>
        </w:rPr>
        <w:t>4</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6501CC">
        <w:rPr>
          <w:bCs/>
          <w:noProof w:val="0"/>
          <w:sz w:val="24"/>
          <w:szCs w:val="24"/>
        </w:rPr>
        <w:t>17678</w:t>
      </w:r>
    </w:p>
    <w:p w14:paraId="231362B2" w14:textId="0B1E7926" w:rsidR="00CD4C7B" w:rsidRPr="00B266B0" w:rsidRDefault="00CB72B8" w:rsidP="00CD4C7B">
      <w:pPr>
        <w:pStyle w:val="Header"/>
        <w:tabs>
          <w:tab w:val="right" w:pos="9639"/>
        </w:tabs>
        <w:rPr>
          <w:bCs/>
          <w:noProof w:val="0"/>
          <w:sz w:val="24"/>
          <w:szCs w:val="24"/>
        </w:rPr>
      </w:pPr>
      <w:r>
        <w:rPr>
          <w:rFonts w:eastAsia="SimSun"/>
          <w:noProof w:val="0"/>
          <w:sz w:val="24"/>
          <w:szCs w:val="24"/>
          <w:lang w:eastAsia="zh-CN"/>
        </w:rPr>
        <w:t>Spokane, USA</w:t>
      </w:r>
      <w:r w:rsidR="008F396F" w:rsidRPr="008F396F">
        <w:rPr>
          <w:rFonts w:eastAsia="SimSun"/>
          <w:noProof w:val="0"/>
          <w:sz w:val="24"/>
          <w:szCs w:val="24"/>
          <w:lang w:eastAsia="zh-CN"/>
        </w:rPr>
        <w:t xml:space="preserve">, </w:t>
      </w:r>
      <w:r>
        <w:rPr>
          <w:rFonts w:eastAsia="SimSun"/>
          <w:noProof w:val="0"/>
          <w:sz w:val="24"/>
          <w:szCs w:val="24"/>
          <w:lang w:eastAsia="zh-CN"/>
        </w:rPr>
        <w:t>12</w:t>
      </w:r>
      <w:r w:rsidR="008F396F" w:rsidRPr="008F396F">
        <w:rPr>
          <w:rFonts w:eastAsia="SimSun"/>
          <w:noProof w:val="0"/>
          <w:sz w:val="24"/>
          <w:szCs w:val="24"/>
          <w:lang w:eastAsia="zh-CN"/>
        </w:rPr>
        <w:t xml:space="preserve"> - </w:t>
      </w:r>
      <w:r>
        <w:rPr>
          <w:rFonts w:eastAsia="SimSun"/>
          <w:noProof w:val="0"/>
          <w:sz w:val="24"/>
          <w:szCs w:val="24"/>
          <w:lang w:eastAsia="zh-CN"/>
        </w:rPr>
        <w:t>16</w:t>
      </w:r>
      <w:r w:rsidR="008F396F" w:rsidRPr="008F396F">
        <w:rPr>
          <w:rFonts w:eastAsia="SimSun"/>
          <w:noProof w:val="0"/>
          <w:sz w:val="24"/>
          <w:szCs w:val="24"/>
          <w:lang w:eastAsia="zh-CN"/>
        </w:rPr>
        <w:t xml:space="preserve"> </w:t>
      </w:r>
      <w:r>
        <w:rPr>
          <w:rFonts w:eastAsia="SimSun"/>
          <w:noProof w:val="0"/>
          <w:sz w:val="24"/>
          <w:szCs w:val="24"/>
          <w:lang w:eastAsia="zh-CN"/>
        </w:rPr>
        <w:t>November</w:t>
      </w:r>
      <w:r w:rsidR="008F396F" w:rsidRPr="008F396F">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D8A50CE"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E13ED">
        <w:rPr>
          <w:rFonts w:cs="Arial"/>
          <w:b/>
          <w:bCs/>
          <w:sz w:val="24"/>
          <w:lang w:eastAsia="ja-JP"/>
        </w:rPr>
        <w:t>10</w:t>
      </w:r>
      <w:r w:rsidR="002747EC">
        <w:rPr>
          <w:rFonts w:cs="Arial"/>
          <w:b/>
          <w:bCs/>
          <w:sz w:val="24"/>
          <w:lang w:eastAsia="ja-JP"/>
        </w:rPr>
        <w:t>.</w:t>
      </w:r>
      <w:r w:rsidR="003E13ED">
        <w:rPr>
          <w:rFonts w:cs="Arial"/>
          <w:b/>
          <w:bCs/>
          <w:sz w:val="24"/>
          <w:lang w:eastAsia="ja-JP"/>
        </w:rPr>
        <w:t>4</w:t>
      </w:r>
      <w:r w:rsidR="002747EC">
        <w:rPr>
          <w:rFonts w:cs="Arial"/>
          <w:b/>
          <w:bCs/>
          <w:sz w:val="24"/>
          <w:lang w:eastAsia="ja-JP"/>
        </w:rPr>
        <w:t>.</w:t>
      </w:r>
      <w:r w:rsidR="003E13ED">
        <w:rPr>
          <w:rFonts w:cs="Arial"/>
          <w:b/>
          <w:bCs/>
          <w:sz w:val="24"/>
          <w:lang w:eastAsia="ja-JP"/>
        </w:rPr>
        <w:t>1.4.1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76D290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208C6">
        <w:rPr>
          <w:rFonts w:ascii="Arial" w:hAnsi="Arial" w:cs="Arial"/>
          <w:b/>
          <w:bCs/>
          <w:sz w:val="24"/>
        </w:rPr>
        <w:t xml:space="preserve">On </w:t>
      </w:r>
      <w:r w:rsidR="003E13ED">
        <w:rPr>
          <w:rFonts w:ascii="Arial" w:hAnsi="Arial" w:cs="Arial"/>
          <w:b/>
          <w:bCs/>
          <w:sz w:val="24"/>
        </w:rPr>
        <w:t>the</w:t>
      </w:r>
      <w:r w:rsidR="000D0C19">
        <w:rPr>
          <w:rFonts w:ascii="Arial" w:hAnsi="Arial" w:cs="Arial"/>
          <w:b/>
          <w:bCs/>
          <w:sz w:val="24"/>
        </w:rPr>
        <w:t xml:space="preserve"> </w:t>
      </w:r>
      <w:proofErr w:type="spellStart"/>
      <w:r w:rsidR="000D0C19">
        <w:rPr>
          <w:rFonts w:ascii="Arial" w:hAnsi="Arial" w:cs="Arial"/>
          <w:b/>
          <w:bCs/>
          <w:sz w:val="24"/>
        </w:rPr>
        <w:t>smtc</w:t>
      </w:r>
      <w:proofErr w:type="spellEnd"/>
      <w:r w:rsidR="003E13ED">
        <w:rPr>
          <w:rFonts w:ascii="Arial" w:hAnsi="Arial" w:cs="Arial"/>
          <w:b/>
          <w:bCs/>
          <w:sz w:val="24"/>
        </w:rPr>
        <w:t xml:space="preserve"> restrictions</w:t>
      </w:r>
      <w:r w:rsidR="00A56870">
        <w:rPr>
          <w:rFonts w:ascii="Arial" w:hAnsi="Arial" w:cs="Arial"/>
          <w:b/>
          <w:bCs/>
          <w:sz w:val="24"/>
        </w:rPr>
        <w:t xml:space="preserve"> </w:t>
      </w:r>
      <w:r w:rsidR="003E13ED">
        <w:rPr>
          <w:rFonts w:ascii="Arial" w:hAnsi="Arial" w:cs="Arial"/>
          <w:b/>
          <w:bCs/>
          <w:sz w:val="24"/>
        </w:rPr>
        <w:t xml:space="preserve">in </w:t>
      </w:r>
      <w:r w:rsidR="00906086">
        <w:rPr>
          <w:rFonts w:ascii="Arial" w:hAnsi="Arial" w:cs="Arial"/>
          <w:b/>
          <w:bCs/>
          <w:sz w:val="24"/>
        </w:rPr>
        <w:t xml:space="preserve">NR </w:t>
      </w:r>
      <w:r w:rsidR="00A56870">
        <w:rPr>
          <w:rFonts w:ascii="Arial" w:hAnsi="Arial" w:cs="Arial"/>
          <w:b/>
          <w:bCs/>
          <w:sz w:val="24"/>
        </w:rPr>
        <w:t>m</w:t>
      </w:r>
      <w:r w:rsidR="003E13ED">
        <w:rPr>
          <w:rFonts w:ascii="Arial" w:hAnsi="Arial" w:cs="Arial"/>
          <w:b/>
          <w:bCs/>
          <w:sz w:val="24"/>
        </w:rPr>
        <w:t>easurement</w:t>
      </w:r>
      <w:r w:rsidR="00906086">
        <w:rPr>
          <w:rFonts w:ascii="Arial" w:hAnsi="Arial" w:cs="Arial"/>
          <w:b/>
          <w:bCs/>
          <w:sz w:val="24"/>
        </w:rPr>
        <w:t xml:space="preserve"> </w:t>
      </w:r>
      <w:r w:rsidR="00A56870">
        <w:rPr>
          <w:rFonts w:ascii="Arial" w:hAnsi="Arial" w:cs="Arial"/>
          <w:b/>
          <w:bCs/>
          <w:sz w:val="24"/>
        </w:rPr>
        <w:t>o</w:t>
      </w:r>
      <w:r w:rsidR="00906086">
        <w:rPr>
          <w:rFonts w:ascii="Arial" w:hAnsi="Arial" w:cs="Arial"/>
          <w:b/>
          <w:bCs/>
          <w:sz w:val="24"/>
        </w:rPr>
        <w:t>bject</w:t>
      </w:r>
      <w:r w:rsidR="00A56870">
        <w:rPr>
          <w:rFonts w:ascii="Arial" w:hAnsi="Arial" w:cs="Arial"/>
          <w:b/>
          <w:bCs/>
          <w:sz w:val="24"/>
        </w:rPr>
        <w:t>s</w:t>
      </w:r>
      <w:r w:rsidR="003E13ED">
        <w:rPr>
          <w:rFonts w:ascii="Arial" w:hAnsi="Arial" w:cs="Arial"/>
          <w:b/>
          <w:bCs/>
          <w:sz w:val="24"/>
        </w:rPr>
        <w:t xml:space="preserve"> </w:t>
      </w:r>
    </w:p>
    <w:p w14:paraId="3AC3A0B1" w14:textId="1F913C35"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3E13ED" w:rsidRPr="003E13ED">
        <w:rPr>
          <w:rFonts w:ascii="Arial" w:hAnsi="Arial" w:cs="Arial"/>
          <w:b/>
          <w:bCs/>
          <w:sz w:val="24"/>
        </w:rPr>
        <w:t>NR_newRAT</w:t>
      </w:r>
      <w:proofErr w:type="spellEnd"/>
      <w:r w:rsidR="003E13ED" w:rsidRPr="003E13ED">
        <w:rPr>
          <w:rFonts w:ascii="Arial" w:hAnsi="Arial" w:cs="Arial"/>
          <w:b/>
          <w:bCs/>
          <w:sz w:val="24"/>
        </w:rPr>
        <w:t>-Core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E13ED">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91FB699" w14:textId="65F75994" w:rsidR="003208C6" w:rsidRDefault="00723FB0" w:rsidP="00CD4C7B">
      <w:r>
        <w:t>During</w:t>
      </w:r>
      <w:r w:rsidR="003208C6">
        <w:t xml:space="preserve"> RAN2#103bis (October 2018),</w:t>
      </w:r>
      <w:r>
        <w:t xml:space="preserve"> various corrections to NR RRM scheme have been agreed</w:t>
      </w:r>
      <w:r w:rsidR="003E3938">
        <w:t xml:space="preserve"> in principle</w:t>
      </w:r>
      <w:r>
        <w:t>. Among them, the</w:t>
      </w:r>
      <w:r w:rsidR="00171AA2">
        <w:t xml:space="preserve"> following change r</w:t>
      </w:r>
      <w:r w:rsidR="003E3938">
        <w:t xml:space="preserve">equest </w:t>
      </w:r>
      <w:r w:rsidR="003E3938">
        <w:fldChar w:fldCharType="begin"/>
      </w:r>
      <w:r w:rsidR="003E3938">
        <w:instrText xml:space="preserve"> REF _Ref528163267 \r \h </w:instrText>
      </w:r>
      <w:r w:rsidR="003E3938">
        <w:fldChar w:fldCharType="separate"/>
      </w:r>
      <w:r w:rsidR="003E3938">
        <w:t>[1]</w:t>
      </w:r>
      <w:r w:rsidR="003E3938">
        <w:fldChar w:fldCharType="end"/>
      </w:r>
      <w:r w:rsidR="003E3938">
        <w:t xml:space="preserve">, as per the Chairman Minutes </w:t>
      </w:r>
      <w:r w:rsidR="003E3938">
        <w:fldChar w:fldCharType="begin"/>
      </w:r>
      <w:r w:rsidR="003E3938">
        <w:instrText xml:space="preserve"> REF _Ref528161917 \r \h </w:instrText>
      </w:r>
      <w:r w:rsidR="003E3938">
        <w:fldChar w:fldCharType="separate"/>
      </w:r>
      <w:r w:rsidR="003E3938">
        <w:t>[2]</w:t>
      </w:r>
      <w:r w:rsidR="003E3938">
        <w:fldChar w:fldCharType="end"/>
      </w:r>
      <w:r w:rsidR="003208C6">
        <w:t>:</w:t>
      </w:r>
    </w:p>
    <w:tbl>
      <w:tblPr>
        <w:tblStyle w:val="TableGrid"/>
        <w:tblW w:w="0" w:type="auto"/>
        <w:tblLook w:val="04A0" w:firstRow="1" w:lastRow="0" w:firstColumn="1" w:lastColumn="0" w:noHBand="0" w:noVBand="1"/>
      </w:tblPr>
      <w:tblGrid>
        <w:gridCol w:w="9631"/>
      </w:tblGrid>
      <w:tr w:rsidR="003208C6" w14:paraId="1AB03D45" w14:textId="77777777" w:rsidTr="003208C6">
        <w:tc>
          <w:tcPr>
            <w:tcW w:w="9631" w:type="dxa"/>
          </w:tcPr>
          <w:p w14:paraId="45DB7C60" w14:textId="508A7D76" w:rsidR="00723FB0" w:rsidRDefault="00723FB0" w:rsidP="00723FB0">
            <w:pPr>
              <w:pStyle w:val="Doc-title"/>
            </w:pPr>
            <w:r w:rsidRPr="00723FB0">
              <w:t>R2-1815943</w:t>
            </w:r>
            <w:r>
              <w:tab/>
              <w:t>Correction to configuration of measurement object [H349]</w:t>
            </w:r>
            <w:r>
              <w:tab/>
              <w:t>Huawei, HiSilicon</w:t>
            </w:r>
            <w:r>
              <w:tab/>
              <w:t>CR</w:t>
            </w:r>
            <w:r>
              <w:tab/>
              <w:t>Rel-15</w:t>
            </w:r>
            <w:r>
              <w:tab/>
              <w:t>38.331</w:t>
            </w:r>
            <w:r>
              <w:tab/>
              <w:t>15.3.0</w:t>
            </w:r>
            <w:r>
              <w:tab/>
              <w:t>0384</w:t>
            </w:r>
            <w:r>
              <w:tab/>
              <w:t>1</w:t>
            </w:r>
            <w:r>
              <w:tab/>
              <w:t>F</w:t>
            </w:r>
            <w:r>
              <w:tab/>
              <w:t>NR_newRAT-Core</w:t>
            </w:r>
          </w:p>
          <w:p w14:paraId="57094BDD" w14:textId="33AE8EB6" w:rsidR="003208C6" w:rsidRDefault="00723FB0" w:rsidP="00723FB0">
            <w:pPr>
              <w:pStyle w:val="Doc-text2"/>
            </w:pPr>
            <w:r>
              <w:t>=&gt;</w:t>
            </w:r>
            <w:r>
              <w:tab/>
              <w:t>Agreed in principle</w:t>
            </w:r>
          </w:p>
        </w:tc>
      </w:tr>
    </w:tbl>
    <w:p w14:paraId="0BBDFC0A" w14:textId="2C470738" w:rsidR="00CD4C7B" w:rsidRPr="00FD7673" w:rsidRDefault="003208C6" w:rsidP="00171AA2">
      <w:pPr>
        <w:jc w:val="both"/>
      </w:pPr>
      <w:r>
        <w:t xml:space="preserve"> </w:t>
      </w:r>
      <w:r w:rsidR="003E3938">
        <w:br/>
        <w:t xml:space="preserve">This paper evaluates the implications of such decision, if ultimately confirmed at </w:t>
      </w:r>
      <w:r w:rsidR="0013227A">
        <w:t xml:space="preserve">RAN2#104. </w:t>
      </w:r>
    </w:p>
    <w:p w14:paraId="127ACA6D" w14:textId="2824AD21" w:rsidR="00CD4C7B" w:rsidRPr="00F53673" w:rsidRDefault="00CD4C7B" w:rsidP="00CD4C7B">
      <w:pPr>
        <w:pStyle w:val="Heading1"/>
      </w:pPr>
      <w:r w:rsidRPr="00F53673">
        <w:t>2</w:t>
      </w:r>
      <w:r w:rsidR="006F103A" w:rsidRPr="00F53673">
        <w:tab/>
      </w:r>
      <w:r w:rsidR="006F103A" w:rsidRPr="0099544E">
        <w:t>Discussion</w:t>
      </w:r>
    </w:p>
    <w:p w14:paraId="6C9097A8" w14:textId="6DB5D68B" w:rsidR="003D50A5" w:rsidRDefault="0013227A" w:rsidP="009241AA">
      <w:pPr>
        <w:jc w:val="both"/>
      </w:pPr>
      <w:r>
        <w:t xml:space="preserve">The </w:t>
      </w:r>
      <w:r w:rsidR="00F53673">
        <w:t xml:space="preserve">change agreed in </w:t>
      </w:r>
      <w:r w:rsidR="00F53673">
        <w:fldChar w:fldCharType="begin"/>
      </w:r>
      <w:r w:rsidR="00F53673">
        <w:instrText xml:space="preserve"> REF _Ref528163267 \r \h </w:instrText>
      </w:r>
      <w:r w:rsidR="009241AA">
        <w:instrText xml:space="preserve"> \* MERGEFORMAT </w:instrText>
      </w:r>
      <w:r w:rsidR="00F53673">
        <w:fldChar w:fldCharType="separate"/>
      </w:r>
      <w:r w:rsidR="00F53673">
        <w:t>[1]</w:t>
      </w:r>
      <w:r w:rsidR="00F53673">
        <w:fldChar w:fldCharType="end"/>
      </w:r>
      <w:r w:rsidR="00F53673">
        <w:t xml:space="preserve">, modifies section 5.5.2.1 of </w:t>
      </w:r>
      <w:r w:rsidR="008D4382">
        <w:fldChar w:fldCharType="begin"/>
      </w:r>
      <w:r w:rsidR="008D4382">
        <w:instrText xml:space="preserve"> REF _Ref528335530 \r \h </w:instrText>
      </w:r>
      <w:r w:rsidR="009241AA">
        <w:instrText xml:space="preserve"> \* MERGEFORMAT </w:instrText>
      </w:r>
      <w:r w:rsidR="008D4382">
        <w:fldChar w:fldCharType="separate"/>
      </w:r>
      <w:r w:rsidR="008D4382">
        <w:t>[3]</w:t>
      </w:r>
      <w:r w:rsidR="008D4382">
        <w:fldChar w:fldCharType="end"/>
      </w:r>
      <w:r w:rsidR="00C07523">
        <w:t xml:space="preserve"> by adding several restrictions on how the network configures the NR measurement framework:</w:t>
      </w:r>
    </w:p>
    <w:tbl>
      <w:tblPr>
        <w:tblStyle w:val="TableGrid"/>
        <w:tblW w:w="0" w:type="auto"/>
        <w:tblLook w:val="04A0" w:firstRow="1" w:lastRow="0" w:firstColumn="1" w:lastColumn="0" w:noHBand="0" w:noVBand="1"/>
      </w:tblPr>
      <w:tblGrid>
        <w:gridCol w:w="9631"/>
      </w:tblGrid>
      <w:tr w:rsidR="00C07523" w14:paraId="299DA63D" w14:textId="77777777" w:rsidTr="00C07523">
        <w:tc>
          <w:tcPr>
            <w:tcW w:w="9631" w:type="dxa"/>
          </w:tcPr>
          <w:p w14:paraId="2F307186" w14:textId="77777777" w:rsidR="00C07523" w:rsidRDefault="00C07523" w:rsidP="00C07523">
            <w:pPr>
              <w:overflowPunct w:val="0"/>
              <w:autoSpaceDE w:val="0"/>
              <w:autoSpaceDN w:val="0"/>
              <w:adjustRightInd w:val="0"/>
              <w:ind w:left="568" w:hanging="284"/>
              <w:textAlignment w:val="baseline"/>
              <w:rPr>
                <w:lang w:eastAsia="ja-JP"/>
              </w:rPr>
            </w:pPr>
            <w:r>
              <w:rPr>
                <w:lang w:eastAsia="ja-JP"/>
              </w:rPr>
              <w:t>-</w:t>
            </w:r>
            <w:r>
              <w:rPr>
                <w:lang w:eastAsia="ja-JP"/>
              </w:rPr>
              <w:tab/>
              <w:t>to ensure that</w:t>
            </w:r>
            <w:r w:rsidRPr="00135A94">
              <w:rPr>
                <w:lang w:eastAsia="ja-JP"/>
              </w:rPr>
              <w:t xml:space="preserve"> </w:t>
            </w:r>
            <w:r>
              <w:rPr>
                <w:lang w:eastAsia="ja-JP"/>
              </w:rPr>
              <w:t xml:space="preserve">any measurement object </w:t>
            </w:r>
            <w:r w:rsidRPr="00135A94">
              <w:rPr>
                <w:lang w:eastAsia="ja-JP"/>
              </w:rPr>
              <w:t xml:space="preserve">with the same </w:t>
            </w:r>
            <w:proofErr w:type="spellStart"/>
            <w:r w:rsidRPr="0079385F">
              <w:rPr>
                <w:i/>
                <w:lang w:eastAsia="ja-JP"/>
              </w:rPr>
              <w:t>ssbFrequency</w:t>
            </w:r>
            <w:proofErr w:type="spellEnd"/>
            <w:r w:rsidRPr="00135A94">
              <w:rPr>
                <w:lang w:eastAsia="ja-JP"/>
              </w:rPr>
              <w:t xml:space="preserve"> and </w:t>
            </w:r>
            <w:proofErr w:type="spellStart"/>
            <w:r w:rsidRPr="0079385F">
              <w:rPr>
                <w:i/>
                <w:lang w:eastAsia="ja-JP"/>
              </w:rPr>
              <w:t>ssbSubcarrierSpacing</w:t>
            </w:r>
            <w:proofErr w:type="spellEnd"/>
            <w:r>
              <w:rPr>
                <w:lang w:eastAsia="ja-JP"/>
              </w:rPr>
              <w:t xml:space="preserve"> as a measurement object used for SSB based measurements does not include a </w:t>
            </w:r>
            <w:proofErr w:type="spellStart"/>
            <w:r w:rsidRPr="00DF470D">
              <w:rPr>
                <w:i/>
                <w:lang w:eastAsia="ja-JP"/>
              </w:rPr>
              <w:t>smtc</w:t>
            </w:r>
            <w:proofErr w:type="spellEnd"/>
            <w:r>
              <w:rPr>
                <w:lang w:eastAsia="ja-JP"/>
              </w:rPr>
              <w:t xml:space="preserve"> which does not match in time with a </w:t>
            </w:r>
            <w:proofErr w:type="spellStart"/>
            <w:r w:rsidRPr="006E69F3">
              <w:rPr>
                <w:i/>
                <w:lang w:eastAsia="ja-JP"/>
              </w:rPr>
              <w:t>smtc</w:t>
            </w:r>
            <w:proofErr w:type="spellEnd"/>
            <w:r>
              <w:rPr>
                <w:lang w:eastAsia="ja-JP"/>
              </w:rPr>
              <w:t xml:space="preserve"> included in that measurement object;</w:t>
            </w:r>
          </w:p>
          <w:p w14:paraId="707FE530" w14:textId="77777777" w:rsidR="00C07523" w:rsidRDefault="00C07523" w:rsidP="00C07523">
            <w:pPr>
              <w:overflowPunct w:val="0"/>
              <w:autoSpaceDE w:val="0"/>
              <w:autoSpaceDN w:val="0"/>
              <w:adjustRightInd w:val="0"/>
              <w:ind w:left="568" w:hanging="284"/>
              <w:textAlignment w:val="baseline"/>
              <w:rPr>
                <w:lang w:eastAsia="ja-JP"/>
              </w:rPr>
            </w:pPr>
            <w:r>
              <w:rPr>
                <w:lang w:eastAsia="ja-JP"/>
              </w:rPr>
              <w:t>-</w:t>
            </w:r>
            <w:r>
              <w:rPr>
                <w:lang w:eastAsia="ja-JP"/>
              </w:rPr>
              <w:tab/>
              <w:t xml:space="preserve">to ensure that, if a measurement object used for SSB based measurements has the same </w:t>
            </w:r>
            <w:proofErr w:type="spellStart"/>
            <w:r w:rsidRPr="0079385F">
              <w:rPr>
                <w:i/>
                <w:lang w:eastAsia="ja-JP"/>
              </w:rPr>
              <w:t>ssbFrequency</w:t>
            </w:r>
            <w:proofErr w:type="spellEnd"/>
            <w:r w:rsidRPr="00135A94">
              <w:rPr>
                <w:lang w:eastAsia="ja-JP"/>
              </w:rPr>
              <w:t xml:space="preserve"> and </w:t>
            </w:r>
            <w:proofErr w:type="spellStart"/>
            <w:r w:rsidRPr="0079385F">
              <w:rPr>
                <w:i/>
                <w:lang w:eastAsia="ja-JP"/>
              </w:rPr>
              <w:t>ssbSubcarrierSpacing</w:t>
            </w:r>
            <w:proofErr w:type="spellEnd"/>
            <w:r>
              <w:rPr>
                <w:lang w:eastAsia="ja-JP"/>
              </w:rPr>
              <w:t xml:space="preserve"> as a measurement object configured in TS 36.331 [10]:</w:t>
            </w:r>
          </w:p>
          <w:p w14:paraId="75885586" w14:textId="77777777" w:rsidR="00C07523" w:rsidRDefault="00C07523" w:rsidP="00C07523">
            <w:pPr>
              <w:pStyle w:val="B2"/>
              <w:rPr>
                <w:lang w:eastAsia="ja-JP"/>
              </w:rPr>
            </w:pPr>
            <w:r>
              <w:rPr>
                <w:lang w:eastAsia="ja-JP"/>
              </w:rPr>
              <w:t>-</w:t>
            </w:r>
            <w:r>
              <w:rPr>
                <w:lang w:eastAsia="ja-JP"/>
              </w:rPr>
              <w:tab/>
              <w:t xml:space="preserve">the measurement object configured in TS 36.331 [10] does not include a </w:t>
            </w:r>
            <w:proofErr w:type="spellStart"/>
            <w:r w:rsidRPr="00DF470D">
              <w:rPr>
                <w:i/>
                <w:lang w:eastAsia="ja-JP"/>
              </w:rPr>
              <w:t>smtc</w:t>
            </w:r>
            <w:proofErr w:type="spellEnd"/>
            <w:r>
              <w:rPr>
                <w:lang w:eastAsia="ja-JP"/>
              </w:rPr>
              <w:t xml:space="preserve"> which does not match in time with a </w:t>
            </w:r>
            <w:proofErr w:type="spellStart"/>
            <w:r w:rsidRPr="00DF470D">
              <w:rPr>
                <w:i/>
                <w:lang w:eastAsia="ja-JP"/>
              </w:rPr>
              <w:t>smtc</w:t>
            </w:r>
            <w:proofErr w:type="spellEnd"/>
            <w:r>
              <w:rPr>
                <w:lang w:eastAsia="ja-JP"/>
              </w:rPr>
              <w:t xml:space="preserve"> included in the measurement object;</w:t>
            </w:r>
          </w:p>
          <w:p w14:paraId="7752413D" w14:textId="6AEB5530" w:rsidR="00C07523" w:rsidRDefault="00C07523" w:rsidP="00C07523">
            <w:pPr>
              <w:pStyle w:val="B2"/>
              <w:rPr>
                <w:lang w:eastAsia="ja-JP"/>
              </w:rPr>
            </w:pPr>
            <w:r>
              <w:rPr>
                <w:lang w:eastAsia="ja-JP"/>
              </w:rPr>
              <w:t>-</w:t>
            </w:r>
            <w:r>
              <w:rPr>
                <w:lang w:eastAsia="ja-JP"/>
              </w:rPr>
              <w:tab/>
              <w:t>if both measurement objects are used for RSSI measurements, the configuration of slots and symbols for RSSI measurements is the same in both measurement objects;</w:t>
            </w:r>
          </w:p>
        </w:tc>
      </w:tr>
    </w:tbl>
    <w:p w14:paraId="285F0717" w14:textId="5A4FE804" w:rsidR="00C07523" w:rsidRDefault="00C4794A" w:rsidP="009241AA">
      <w:pPr>
        <w:jc w:val="both"/>
      </w:pPr>
      <w:r>
        <w:br/>
        <w:t xml:space="preserve">The agreed text – the outcome of another offline discussion, likely a compromised solution, does not appear to be accurate and non-ambiguous, though. </w:t>
      </w:r>
      <w:proofErr w:type="gramStart"/>
      <w:r>
        <w:t>First of all</w:t>
      </w:r>
      <w:proofErr w:type="gramEnd"/>
      <w:r>
        <w:t xml:space="preserve">, the phrase </w:t>
      </w:r>
      <w:r w:rsidRPr="00C4794A">
        <w:rPr>
          <w:i/>
        </w:rPr>
        <w:t>“…</w:t>
      </w:r>
      <w:proofErr w:type="spellStart"/>
      <w:r w:rsidRPr="00C4794A">
        <w:rPr>
          <w:i/>
        </w:rPr>
        <w:t>smtc</w:t>
      </w:r>
      <w:proofErr w:type="spellEnd"/>
      <w:r w:rsidRPr="00C4794A">
        <w:rPr>
          <w:i/>
        </w:rPr>
        <w:t xml:space="preserve"> which does not </w:t>
      </w:r>
      <w:r>
        <w:rPr>
          <w:i/>
        </w:rPr>
        <w:t xml:space="preserve">match in time with </w:t>
      </w:r>
      <w:r w:rsidRPr="00C4794A">
        <w:rPr>
          <w:i/>
        </w:rPr>
        <w:t xml:space="preserve">a </w:t>
      </w:r>
      <w:proofErr w:type="spellStart"/>
      <w:r w:rsidRPr="00C4794A">
        <w:rPr>
          <w:i/>
        </w:rPr>
        <w:t>smtc</w:t>
      </w:r>
      <w:proofErr w:type="spellEnd"/>
      <w:r w:rsidRPr="00C4794A">
        <w:rPr>
          <w:i/>
        </w:rPr>
        <w:t>…”</w:t>
      </w:r>
      <w:r>
        <w:t xml:space="preserve"> could be interpreted in multiple ways. SMTC (i.e. SSB Measurement Timing Configuration) itself relates just to the timing of SSB configuration (i.e. provides periodicity, duration and offset of</w:t>
      </w:r>
      <w:r w:rsidR="009241AA">
        <w:t xml:space="preserve"> the measurement window, where SS/PBCH blocks can be received</w:t>
      </w:r>
      <w:r>
        <w:t xml:space="preserve">, as defined in </w:t>
      </w:r>
      <w:r>
        <w:fldChar w:fldCharType="begin"/>
      </w:r>
      <w:r>
        <w:instrText xml:space="preserve"> REF _Ref528335530 \r \h </w:instrText>
      </w:r>
      <w:r w:rsidR="009241AA">
        <w:instrText xml:space="preserve"> \* MERGEFORMAT </w:instrText>
      </w:r>
      <w:r>
        <w:fldChar w:fldCharType="separate"/>
      </w:r>
      <w:r>
        <w:t>[3]</w:t>
      </w:r>
      <w:r>
        <w:fldChar w:fldCharType="end"/>
      </w:r>
      <w:r>
        <w:t>)</w:t>
      </w:r>
      <w:r w:rsidR="009241AA">
        <w:t xml:space="preserve">. Thus, we wonder what “matching in time” phrase </w:t>
      </w:r>
      <w:proofErr w:type="gramStart"/>
      <w:r w:rsidR="009241AA">
        <w:t>actually means</w:t>
      </w:r>
      <w:proofErr w:type="gramEnd"/>
      <w:r w:rsidR="009241AA">
        <w:t xml:space="preserve">? The alignment between all parameters comprised within </w:t>
      </w:r>
      <w:r w:rsidR="009241AA" w:rsidRPr="009241AA">
        <w:rPr>
          <w:i/>
        </w:rPr>
        <w:t>SSB-MTC</w:t>
      </w:r>
      <w:r w:rsidR="009241AA">
        <w:t xml:space="preserve"> IE? We believe RAN2 should find a better wording if those new conditions are to be introduced to </w:t>
      </w:r>
      <w:r w:rsidR="009241AA">
        <w:fldChar w:fldCharType="begin"/>
      </w:r>
      <w:r w:rsidR="009241AA">
        <w:instrText xml:space="preserve"> REF _Ref528335530 \r \h  \* MERGEFORMAT </w:instrText>
      </w:r>
      <w:r w:rsidR="009241AA">
        <w:fldChar w:fldCharType="separate"/>
      </w:r>
      <w:r w:rsidR="009241AA">
        <w:t>[3]</w:t>
      </w:r>
      <w:r w:rsidR="009241AA">
        <w:fldChar w:fldCharType="end"/>
      </w:r>
      <w:r w:rsidR="009241AA">
        <w:t xml:space="preserve">. </w:t>
      </w:r>
    </w:p>
    <w:p w14:paraId="466C69EE" w14:textId="1CB7A091" w:rsidR="009241AA" w:rsidRDefault="007B5CF0" w:rsidP="009241AA">
      <w:pPr>
        <w:pStyle w:val="ListParagraph"/>
        <w:numPr>
          <w:ilvl w:val="0"/>
          <w:numId w:val="5"/>
        </w:numPr>
        <w:rPr>
          <w:b/>
        </w:rPr>
      </w:pPr>
      <w:bookmarkStart w:id="0" w:name="_Ref528338125"/>
      <w:r>
        <w:rPr>
          <w:b/>
        </w:rPr>
        <w:t xml:space="preserve">The </w:t>
      </w:r>
      <w:r w:rsidR="00781659">
        <w:rPr>
          <w:b/>
        </w:rPr>
        <w:t xml:space="preserve">following </w:t>
      </w:r>
      <w:r w:rsidR="009241AA" w:rsidRPr="009241AA">
        <w:rPr>
          <w:b/>
        </w:rPr>
        <w:t>wording</w:t>
      </w:r>
      <w:r w:rsidR="000D31C2">
        <w:rPr>
          <w:b/>
        </w:rPr>
        <w:t>:</w:t>
      </w:r>
      <w:r w:rsidR="009241AA" w:rsidRPr="009241AA">
        <w:rPr>
          <w:b/>
        </w:rPr>
        <w:t xml:space="preserve"> “…</w:t>
      </w:r>
      <w:proofErr w:type="spellStart"/>
      <w:r w:rsidR="009241AA" w:rsidRPr="009241AA">
        <w:rPr>
          <w:b/>
        </w:rPr>
        <w:t>smtc</w:t>
      </w:r>
      <w:proofErr w:type="spellEnd"/>
      <w:r w:rsidR="009241AA" w:rsidRPr="009241AA">
        <w:rPr>
          <w:b/>
        </w:rPr>
        <w:t xml:space="preserve"> which does not match in time…” </w:t>
      </w:r>
      <w:r w:rsidR="000D31C2">
        <w:rPr>
          <w:b/>
        </w:rPr>
        <w:t xml:space="preserve">agreed in principle </w:t>
      </w:r>
      <w:r w:rsidR="009241AA" w:rsidRPr="009241AA">
        <w:rPr>
          <w:b/>
        </w:rPr>
        <w:t xml:space="preserve">in principle in </w:t>
      </w:r>
      <w:r w:rsidR="009241AA" w:rsidRPr="009241AA">
        <w:rPr>
          <w:b/>
        </w:rPr>
        <w:fldChar w:fldCharType="begin"/>
      </w:r>
      <w:r w:rsidR="009241AA" w:rsidRPr="009241AA">
        <w:rPr>
          <w:b/>
        </w:rPr>
        <w:instrText xml:space="preserve"> REF _Ref528163267 \r \h </w:instrText>
      </w:r>
      <w:r w:rsidR="009241AA">
        <w:rPr>
          <w:b/>
        </w:rPr>
        <w:instrText xml:space="preserve"> \* MERGEFORMAT </w:instrText>
      </w:r>
      <w:r w:rsidR="009241AA" w:rsidRPr="009241AA">
        <w:rPr>
          <w:b/>
        </w:rPr>
      </w:r>
      <w:r w:rsidR="009241AA" w:rsidRPr="009241AA">
        <w:rPr>
          <w:b/>
        </w:rPr>
        <w:fldChar w:fldCharType="separate"/>
      </w:r>
      <w:r w:rsidR="009241AA" w:rsidRPr="009241AA">
        <w:rPr>
          <w:b/>
        </w:rPr>
        <w:t>[1]</w:t>
      </w:r>
      <w:r w:rsidR="009241AA" w:rsidRPr="009241AA">
        <w:rPr>
          <w:b/>
        </w:rPr>
        <w:fldChar w:fldCharType="end"/>
      </w:r>
      <w:r w:rsidR="009241AA" w:rsidRPr="009241AA">
        <w:rPr>
          <w:b/>
        </w:rPr>
        <w:t xml:space="preserve"> is ambiguous</w:t>
      </w:r>
      <w:r w:rsidR="00781659">
        <w:rPr>
          <w:b/>
        </w:rPr>
        <w:t xml:space="preserve"> and can lead to multiple interpretations</w:t>
      </w:r>
      <w:r w:rsidR="009241AA" w:rsidRPr="009241AA">
        <w:rPr>
          <w:b/>
        </w:rPr>
        <w:t>.</w:t>
      </w:r>
      <w:bookmarkEnd w:id="0"/>
    </w:p>
    <w:p w14:paraId="324714B2" w14:textId="04C02723" w:rsidR="00367BA9" w:rsidRDefault="00BE43A8" w:rsidP="006F4FE3">
      <w:pPr>
        <w:jc w:val="both"/>
      </w:pPr>
      <w:r>
        <w:t xml:space="preserve">Secondly, the reference to TS 36.331 in the procedural text from </w:t>
      </w:r>
      <w:r>
        <w:fldChar w:fldCharType="begin"/>
      </w:r>
      <w:r>
        <w:instrText xml:space="preserve"> REF _Ref528163267 \r \h </w:instrText>
      </w:r>
      <w:r w:rsidR="006F4FE3">
        <w:instrText xml:space="preserve"> \* MERGEFORMAT </w:instrText>
      </w:r>
      <w:r>
        <w:fldChar w:fldCharType="separate"/>
      </w:r>
      <w:r>
        <w:t>[1]</w:t>
      </w:r>
      <w:r>
        <w:fldChar w:fldCharType="end"/>
      </w:r>
      <w:r>
        <w:t>, quoted above, implies the need to coordinate between MN and SN whether measurement objects</w:t>
      </w:r>
      <w:r w:rsidR="000C428F">
        <w:t xml:space="preserve"> (MOs)</w:t>
      </w:r>
      <w:r>
        <w:t xml:space="preserve"> configured by these two nodes independently are indeed aligned w.r.t. SMTC when the same </w:t>
      </w:r>
      <w:proofErr w:type="spellStart"/>
      <w:r w:rsidRPr="00BE43A8">
        <w:rPr>
          <w:i/>
        </w:rPr>
        <w:t>ssbFrequency</w:t>
      </w:r>
      <w:proofErr w:type="spellEnd"/>
      <w:r>
        <w:t xml:space="preserve"> and </w:t>
      </w:r>
      <w:proofErr w:type="spellStart"/>
      <w:r w:rsidRPr="00BE43A8">
        <w:rPr>
          <w:i/>
        </w:rPr>
        <w:t>scs</w:t>
      </w:r>
      <w:proofErr w:type="spellEnd"/>
      <w:r>
        <w:t xml:space="preserve"> is present</w:t>
      </w:r>
      <w:r w:rsidR="000C428F">
        <w:t xml:space="preserve"> in </w:t>
      </w:r>
      <w:proofErr w:type="spellStart"/>
      <w:r w:rsidR="000C428F">
        <w:t>MOs</w:t>
      </w:r>
      <w:r>
        <w:t>.</w:t>
      </w:r>
      <w:proofErr w:type="spellEnd"/>
      <w:r>
        <w:t xml:space="preserve"> </w:t>
      </w:r>
      <w:r w:rsidR="00367BA9">
        <w:t>There is no such coordination X2/INM signalling defined and it would be desired to avoid non-backwards compatible changes to frozen Rel-15 measurement framework.</w:t>
      </w:r>
    </w:p>
    <w:p w14:paraId="5C64109B" w14:textId="77777777" w:rsidR="00367BA9" w:rsidRPr="00367BA9" w:rsidRDefault="00367BA9" w:rsidP="00F97381">
      <w:pPr>
        <w:pStyle w:val="ListParagraph"/>
        <w:numPr>
          <w:ilvl w:val="0"/>
          <w:numId w:val="5"/>
        </w:numPr>
        <w:rPr>
          <w:b/>
        </w:rPr>
      </w:pPr>
      <w:bookmarkStart w:id="1" w:name="_Ref528338147"/>
      <w:r w:rsidRPr="00367BA9">
        <w:rPr>
          <w:b/>
        </w:rPr>
        <w:lastRenderedPageBreak/>
        <w:t>The need to align the SMTCs in MOs configured by MN and SN implies the necessity of introducing non-backwards compatible MN-SN signalling to coordinate these measurements</w:t>
      </w:r>
      <w:bookmarkEnd w:id="1"/>
    </w:p>
    <w:p w14:paraId="0039C902" w14:textId="257DDD77" w:rsidR="00367BA9" w:rsidRDefault="006F4FE3" w:rsidP="00F21EA4">
      <w:pPr>
        <w:jc w:val="both"/>
      </w:pPr>
      <w:r>
        <w:t xml:space="preserve">Eventually, it is worth pointing </w:t>
      </w:r>
      <w:r w:rsidR="005531F1">
        <w:t xml:space="preserve">out </w:t>
      </w:r>
      <w:r>
        <w:t xml:space="preserve">what has been recently agreed in RAN WG4 </w:t>
      </w:r>
      <w:r w:rsidR="005531F1">
        <w:fldChar w:fldCharType="begin"/>
      </w:r>
      <w:r w:rsidR="005531F1">
        <w:instrText xml:space="preserve"> REF _Ref528337507 \r \h </w:instrText>
      </w:r>
      <w:r w:rsidR="00F21EA4">
        <w:instrText xml:space="preserve"> \* MERGEFORMAT </w:instrText>
      </w:r>
      <w:r w:rsidR="005531F1">
        <w:fldChar w:fldCharType="separate"/>
      </w:r>
      <w:r w:rsidR="005531F1">
        <w:t>[4]</w:t>
      </w:r>
      <w:r w:rsidR="005531F1">
        <w:fldChar w:fldCharType="end"/>
      </w:r>
      <w:r>
        <w:t>.</w:t>
      </w:r>
      <w:r w:rsidR="005531F1">
        <w:t xml:space="preserve"> This change </w:t>
      </w:r>
      <w:r w:rsidR="00171AA2">
        <w:t>request to TS 38.133 has concluded the discussion in that working group on how to count the measurement objects in NR. According to the principles captured in TS38.133, it should be possible to configure two MOs with</w:t>
      </w:r>
      <w:r w:rsidR="00C34D79">
        <w:t xml:space="preserve"> same or</w:t>
      </w:r>
      <w:r w:rsidR="00171AA2">
        <w:t xml:space="preserve"> different SMTCs (one configured by MN, another by SN), but those are then counted as two MOs</w:t>
      </w:r>
      <w:r w:rsidR="00C34D79">
        <w:t xml:space="preserve"> in UE</w:t>
      </w:r>
      <w:r w:rsidR="00171AA2">
        <w:t xml:space="preserve">, even if </w:t>
      </w:r>
      <w:proofErr w:type="spellStart"/>
      <w:r w:rsidR="00171AA2" w:rsidRPr="00171AA2">
        <w:rPr>
          <w:i/>
        </w:rPr>
        <w:t>ssbFrequency</w:t>
      </w:r>
      <w:proofErr w:type="spellEnd"/>
      <w:r w:rsidR="00171AA2">
        <w:t xml:space="preserve"> and </w:t>
      </w:r>
      <w:proofErr w:type="spellStart"/>
      <w:r w:rsidR="00171AA2" w:rsidRPr="00171AA2">
        <w:rPr>
          <w:i/>
        </w:rPr>
        <w:t>scs</w:t>
      </w:r>
      <w:proofErr w:type="spellEnd"/>
      <w:r w:rsidR="00171AA2">
        <w:t xml:space="preserve"> are the same. We believe this is a reasonable approach and potential compromise.</w:t>
      </w:r>
    </w:p>
    <w:p w14:paraId="68A5DC92" w14:textId="1757F55B" w:rsidR="00C34D79" w:rsidRDefault="00C34D79" w:rsidP="00F97381">
      <w:pPr>
        <w:pStyle w:val="ListParagraph"/>
        <w:numPr>
          <w:ilvl w:val="0"/>
          <w:numId w:val="5"/>
        </w:numPr>
        <w:rPr>
          <w:b/>
        </w:rPr>
      </w:pPr>
      <w:bookmarkStart w:id="2" w:name="_Ref528580364"/>
      <w:r w:rsidRPr="00F97381">
        <w:rPr>
          <w:b/>
        </w:rPr>
        <w:t xml:space="preserve">RAN4 </w:t>
      </w:r>
      <w:r w:rsidR="00CD5CBF">
        <w:rPr>
          <w:b/>
        </w:rPr>
        <w:t xml:space="preserve">has </w:t>
      </w:r>
      <w:r w:rsidRPr="00F97381">
        <w:rPr>
          <w:b/>
        </w:rPr>
        <w:t xml:space="preserve">concluded </w:t>
      </w:r>
      <w:r w:rsidR="003774B2">
        <w:rPr>
          <w:b/>
        </w:rPr>
        <w:t>that irrespective of</w:t>
      </w:r>
      <w:r w:rsidR="00D45599">
        <w:rPr>
          <w:b/>
        </w:rPr>
        <w:t xml:space="preserve"> whether the</w:t>
      </w:r>
      <w:r w:rsidRPr="00F97381">
        <w:rPr>
          <w:b/>
        </w:rPr>
        <w:t xml:space="preserve"> same or different SMTCs </w:t>
      </w:r>
      <w:r w:rsidR="00D45599">
        <w:rPr>
          <w:b/>
        </w:rPr>
        <w:t xml:space="preserve">are </w:t>
      </w:r>
      <w:r w:rsidRPr="00F97381">
        <w:rPr>
          <w:b/>
        </w:rPr>
        <w:t>configured in two MOs (one by MN, another by SN), t</w:t>
      </w:r>
      <w:r w:rsidR="00D45599">
        <w:rPr>
          <w:b/>
        </w:rPr>
        <w:t>hose</w:t>
      </w:r>
      <w:r w:rsidRPr="00F97381">
        <w:rPr>
          <w:b/>
        </w:rPr>
        <w:t xml:space="preserve"> are always counted as two</w:t>
      </w:r>
      <w:r w:rsidR="00DD444E">
        <w:rPr>
          <w:b/>
        </w:rPr>
        <w:t xml:space="preserve"> MOs</w:t>
      </w:r>
      <w:r w:rsidRPr="00F97381">
        <w:rPr>
          <w:b/>
        </w:rPr>
        <w:t xml:space="preserve"> in UE even if SMTCs are exactly same.</w:t>
      </w:r>
      <w:bookmarkEnd w:id="2"/>
      <w:r w:rsidRPr="00F97381">
        <w:rPr>
          <w:b/>
        </w:rPr>
        <w:t xml:space="preserve"> </w:t>
      </w:r>
    </w:p>
    <w:p w14:paraId="54049AA1" w14:textId="27C921CE" w:rsidR="00C34D79" w:rsidRPr="00C34D79" w:rsidRDefault="00C34D79" w:rsidP="00C34D79">
      <w:pPr>
        <w:jc w:val="both"/>
      </w:pPr>
      <w:r w:rsidRPr="00F97381">
        <w:t>I</w:t>
      </w:r>
      <w:r>
        <w:t>f so, it seems not necessary to restrict to align SMTC between two network nodes, it shall be possible to configure NR MOs</w:t>
      </w:r>
      <w:r w:rsidR="00CD5CBF">
        <w:t xml:space="preserve"> for same </w:t>
      </w:r>
      <w:proofErr w:type="spellStart"/>
      <w:r w:rsidR="00CD5CBF" w:rsidRPr="00171AA2">
        <w:rPr>
          <w:i/>
        </w:rPr>
        <w:t>ssbFrequency</w:t>
      </w:r>
      <w:proofErr w:type="spellEnd"/>
      <w:r w:rsidR="00CD5CBF">
        <w:t xml:space="preserve"> and </w:t>
      </w:r>
      <w:proofErr w:type="spellStart"/>
      <w:r w:rsidR="00CD5CBF" w:rsidRPr="00171AA2">
        <w:rPr>
          <w:i/>
        </w:rPr>
        <w:t>scs</w:t>
      </w:r>
      <w:proofErr w:type="spellEnd"/>
      <w:r>
        <w:t>, one configured by</w:t>
      </w:r>
      <w:r w:rsidR="00CD5CBF">
        <w:t xml:space="preserve"> MN and another by SN, with different SMTCs.</w:t>
      </w:r>
      <w:r>
        <w:t xml:space="preserve">  </w:t>
      </w:r>
    </w:p>
    <w:p w14:paraId="670C1CA3" w14:textId="3E34E899" w:rsidR="00171AA2" w:rsidRPr="00F97381" w:rsidRDefault="00171AA2" w:rsidP="00F97381">
      <w:pPr>
        <w:pStyle w:val="ListParagraph"/>
        <w:numPr>
          <w:ilvl w:val="0"/>
          <w:numId w:val="8"/>
        </w:numPr>
        <w:rPr>
          <w:b/>
        </w:rPr>
      </w:pPr>
      <w:bookmarkStart w:id="3" w:name="_Ref528338166"/>
      <w:r w:rsidRPr="00F97381">
        <w:rPr>
          <w:b/>
        </w:rPr>
        <w:t>It sha</w:t>
      </w:r>
      <w:r w:rsidR="0074054F" w:rsidRPr="00F97381">
        <w:rPr>
          <w:b/>
        </w:rPr>
        <w:t xml:space="preserve">ll be possible to configure </w:t>
      </w:r>
      <w:r w:rsidRPr="00F97381">
        <w:rPr>
          <w:b/>
        </w:rPr>
        <w:t xml:space="preserve">NR measurement objects, one configured by MN, another by SN, with different SMTCs. </w:t>
      </w:r>
      <w:r w:rsidR="0074054F" w:rsidRPr="00F97381">
        <w:rPr>
          <w:b/>
        </w:rPr>
        <w:t>In this case – those are counted as two separate MOs</w:t>
      </w:r>
      <w:r w:rsidR="00DD444E">
        <w:rPr>
          <w:b/>
        </w:rPr>
        <w:t xml:space="preserve"> and RAN4 is responsible for defining relevant UE requirements.</w:t>
      </w:r>
      <w:bookmarkEnd w:id="3"/>
    </w:p>
    <w:p w14:paraId="43A12B72" w14:textId="5E0DCF10" w:rsidR="00CD4C7B" w:rsidRPr="003E13ED" w:rsidRDefault="002E23CD" w:rsidP="00CD4C7B">
      <w:pPr>
        <w:pStyle w:val="Heading1"/>
      </w:pPr>
      <w:r w:rsidRPr="003E13ED">
        <w:t>3</w:t>
      </w:r>
      <w:r w:rsidR="006F103A" w:rsidRPr="003E13ED">
        <w:tab/>
      </w:r>
      <w:r w:rsidR="006F103A" w:rsidRPr="0099544E">
        <w:t>Conclusion</w:t>
      </w:r>
    </w:p>
    <w:p w14:paraId="3B34E5E1" w14:textId="421358E3" w:rsidR="002E23CD" w:rsidRDefault="002E23CD" w:rsidP="00CD4C7B">
      <w:r w:rsidRPr="002E23CD">
        <w:t>This paper discussed</w:t>
      </w:r>
      <w:r w:rsidR="005531F1">
        <w:t xml:space="preserve"> NR measurement object restrictions with respect to SMTC</w:t>
      </w:r>
      <w:r w:rsidRPr="002E23CD">
        <w:t>.</w:t>
      </w:r>
      <w:r>
        <w:t xml:space="preserve"> </w:t>
      </w:r>
      <w:r w:rsidRPr="002E23CD">
        <w:t>As a result, the following observations and proposals have been made:</w:t>
      </w:r>
    </w:p>
    <w:p w14:paraId="7B45C8BD" w14:textId="22F43EB9" w:rsidR="00F21EA4" w:rsidRPr="00F21EA4" w:rsidRDefault="00F21EA4" w:rsidP="00CD4C7B">
      <w:pPr>
        <w:rPr>
          <w:b/>
        </w:rPr>
      </w:pPr>
      <w:r w:rsidRPr="00F21EA4">
        <w:rPr>
          <w:b/>
        </w:rPr>
        <w:fldChar w:fldCharType="begin"/>
      </w:r>
      <w:r w:rsidRPr="00F21EA4">
        <w:rPr>
          <w:b/>
        </w:rPr>
        <w:instrText xml:space="preserve"> REF _Ref528338125 \r \h </w:instrText>
      </w:r>
      <w:r>
        <w:rPr>
          <w:b/>
        </w:rPr>
        <w:instrText xml:space="preserve"> \* MERGEFORMAT </w:instrText>
      </w:r>
      <w:r w:rsidRPr="00F21EA4">
        <w:rPr>
          <w:b/>
        </w:rPr>
      </w:r>
      <w:r w:rsidRPr="00F21EA4">
        <w:rPr>
          <w:b/>
        </w:rPr>
        <w:fldChar w:fldCharType="separate"/>
      </w:r>
      <w:r w:rsidR="00FC0F9B">
        <w:rPr>
          <w:b/>
        </w:rPr>
        <w:t>Observation 1:</w:t>
      </w:r>
      <w:r w:rsidRPr="00F21EA4">
        <w:rPr>
          <w:b/>
        </w:rPr>
        <w:fldChar w:fldCharType="end"/>
      </w:r>
      <w:r w:rsidRPr="00F21EA4">
        <w:rPr>
          <w:b/>
        </w:rPr>
        <w:t xml:space="preserve"> </w:t>
      </w:r>
      <w:r w:rsidRPr="00F21EA4">
        <w:rPr>
          <w:b/>
        </w:rPr>
        <w:fldChar w:fldCharType="begin"/>
      </w:r>
      <w:r w:rsidRPr="00F21EA4">
        <w:rPr>
          <w:b/>
        </w:rPr>
        <w:instrText xml:space="preserve"> REF _Ref528338125 \h </w:instrText>
      </w:r>
      <w:r>
        <w:rPr>
          <w:b/>
        </w:rPr>
        <w:instrText xml:space="preserve"> \* MERGEFORMAT </w:instrText>
      </w:r>
      <w:r w:rsidRPr="00F21EA4">
        <w:rPr>
          <w:b/>
        </w:rPr>
      </w:r>
      <w:r w:rsidRPr="00F21EA4">
        <w:rPr>
          <w:b/>
        </w:rPr>
        <w:fldChar w:fldCharType="separate"/>
      </w:r>
      <w:r w:rsidR="006501CC">
        <w:rPr>
          <w:b/>
        </w:rPr>
        <w:t xml:space="preserve">The following </w:t>
      </w:r>
      <w:r w:rsidR="006501CC" w:rsidRPr="009241AA">
        <w:rPr>
          <w:b/>
        </w:rPr>
        <w:t>wording</w:t>
      </w:r>
      <w:r w:rsidR="006501CC">
        <w:rPr>
          <w:b/>
        </w:rPr>
        <w:t>:</w:t>
      </w:r>
      <w:r w:rsidR="006501CC" w:rsidRPr="009241AA">
        <w:rPr>
          <w:b/>
        </w:rPr>
        <w:t xml:space="preserve"> “…</w:t>
      </w:r>
      <w:proofErr w:type="spellStart"/>
      <w:r w:rsidR="006501CC" w:rsidRPr="009241AA">
        <w:rPr>
          <w:b/>
        </w:rPr>
        <w:t>smtc</w:t>
      </w:r>
      <w:proofErr w:type="spellEnd"/>
      <w:r w:rsidR="006501CC" w:rsidRPr="009241AA">
        <w:rPr>
          <w:b/>
        </w:rPr>
        <w:t xml:space="preserve"> which does not match in time…” </w:t>
      </w:r>
      <w:r w:rsidR="006501CC">
        <w:rPr>
          <w:b/>
        </w:rPr>
        <w:t xml:space="preserve">agreed in principle </w:t>
      </w:r>
      <w:r w:rsidR="006501CC" w:rsidRPr="009241AA">
        <w:rPr>
          <w:b/>
        </w:rPr>
        <w:t>in principle in [1] is ambiguous</w:t>
      </w:r>
      <w:r w:rsidR="006501CC">
        <w:rPr>
          <w:b/>
        </w:rPr>
        <w:t xml:space="preserve"> and can lead to multiple interpretations</w:t>
      </w:r>
      <w:r w:rsidR="006501CC" w:rsidRPr="009241AA">
        <w:rPr>
          <w:b/>
        </w:rPr>
        <w:t>.</w:t>
      </w:r>
      <w:r w:rsidRPr="00F21EA4">
        <w:rPr>
          <w:b/>
        </w:rPr>
        <w:fldChar w:fldCharType="end"/>
      </w:r>
      <w:bookmarkStart w:id="4" w:name="_GoBack"/>
      <w:bookmarkEnd w:id="4"/>
    </w:p>
    <w:p w14:paraId="1251E310" w14:textId="1734D2E9" w:rsidR="00F21EA4" w:rsidRDefault="00F21EA4" w:rsidP="00CD4C7B">
      <w:pPr>
        <w:rPr>
          <w:b/>
        </w:rPr>
      </w:pPr>
      <w:r w:rsidRPr="00F21EA4">
        <w:rPr>
          <w:b/>
        </w:rPr>
        <w:fldChar w:fldCharType="begin"/>
      </w:r>
      <w:r w:rsidRPr="00F21EA4">
        <w:rPr>
          <w:b/>
        </w:rPr>
        <w:instrText xml:space="preserve"> REF _Ref528338147 \r \h </w:instrText>
      </w:r>
      <w:r>
        <w:rPr>
          <w:b/>
        </w:rPr>
        <w:instrText xml:space="preserve"> \* MERGEFORMAT </w:instrText>
      </w:r>
      <w:r w:rsidRPr="00F21EA4">
        <w:rPr>
          <w:b/>
        </w:rPr>
      </w:r>
      <w:r w:rsidRPr="00F21EA4">
        <w:rPr>
          <w:b/>
        </w:rPr>
        <w:fldChar w:fldCharType="separate"/>
      </w:r>
      <w:r w:rsidR="00FC0F9B">
        <w:rPr>
          <w:b/>
        </w:rPr>
        <w:t>Observation 2:</w:t>
      </w:r>
      <w:r w:rsidRPr="00F21EA4">
        <w:rPr>
          <w:b/>
        </w:rPr>
        <w:fldChar w:fldCharType="end"/>
      </w:r>
      <w:r w:rsidRPr="00F21EA4">
        <w:rPr>
          <w:b/>
        </w:rPr>
        <w:t xml:space="preserve"> </w:t>
      </w:r>
      <w:r w:rsidRPr="00F21EA4">
        <w:rPr>
          <w:b/>
        </w:rPr>
        <w:fldChar w:fldCharType="begin"/>
      </w:r>
      <w:r w:rsidRPr="00F21EA4">
        <w:rPr>
          <w:b/>
        </w:rPr>
        <w:instrText xml:space="preserve"> REF _Ref528338147 \h </w:instrText>
      </w:r>
      <w:r>
        <w:rPr>
          <w:b/>
        </w:rPr>
        <w:instrText xml:space="preserve"> \* MERGEFORMAT </w:instrText>
      </w:r>
      <w:r w:rsidRPr="00F21EA4">
        <w:rPr>
          <w:b/>
        </w:rPr>
      </w:r>
      <w:r w:rsidRPr="00F21EA4">
        <w:rPr>
          <w:b/>
        </w:rPr>
        <w:fldChar w:fldCharType="separate"/>
      </w:r>
      <w:r w:rsidR="006501CC" w:rsidRPr="00367BA9">
        <w:rPr>
          <w:b/>
        </w:rPr>
        <w:t>The need to align the SMTCs in MOs configured by MN and SN implies the necessity of introducing non-backwards compatible MN-SN signalling to coordinate these measurements</w:t>
      </w:r>
      <w:r w:rsidRPr="00F21EA4">
        <w:rPr>
          <w:b/>
        </w:rPr>
        <w:fldChar w:fldCharType="end"/>
      </w:r>
    </w:p>
    <w:p w14:paraId="26AC1E53" w14:textId="0691D1CE" w:rsidR="00FC0F9B" w:rsidRDefault="00FC0F9B" w:rsidP="00CD4C7B">
      <w:pPr>
        <w:rPr>
          <w:b/>
        </w:rPr>
      </w:pPr>
      <w:r>
        <w:rPr>
          <w:b/>
        </w:rPr>
        <w:fldChar w:fldCharType="begin"/>
      </w:r>
      <w:r>
        <w:rPr>
          <w:b/>
        </w:rPr>
        <w:instrText xml:space="preserve"> REF _Ref528580364 \r \h </w:instrText>
      </w:r>
      <w:r>
        <w:rPr>
          <w:b/>
        </w:rPr>
      </w:r>
      <w:r>
        <w:rPr>
          <w:b/>
        </w:rPr>
        <w:fldChar w:fldCharType="separate"/>
      </w:r>
      <w:r>
        <w:rPr>
          <w:b/>
        </w:rPr>
        <w:t>Observation 3:</w:t>
      </w:r>
      <w:r>
        <w:rPr>
          <w:b/>
        </w:rPr>
        <w:fldChar w:fldCharType="end"/>
      </w:r>
      <w:r>
        <w:rPr>
          <w:b/>
        </w:rPr>
        <w:t xml:space="preserve"> </w:t>
      </w:r>
      <w:r>
        <w:rPr>
          <w:b/>
        </w:rPr>
        <w:fldChar w:fldCharType="begin"/>
      </w:r>
      <w:r>
        <w:rPr>
          <w:b/>
        </w:rPr>
        <w:instrText xml:space="preserve"> REF _Ref528580364 \h </w:instrText>
      </w:r>
      <w:r>
        <w:rPr>
          <w:b/>
        </w:rPr>
      </w:r>
      <w:r>
        <w:rPr>
          <w:b/>
        </w:rPr>
        <w:fldChar w:fldCharType="separate"/>
      </w:r>
      <w:r w:rsidR="006501CC" w:rsidRPr="00F97381">
        <w:rPr>
          <w:b/>
        </w:rPr>
        <w:t xml:space="preserve">RAN4 </w:t>
      </w:r>
      <w:r w:rsidR="006501CC">
        <w:rPr>
          <w:b/>
        </w:rPr>
        <w:t xml:space="preserve">has </w:t>
      </w:r>
      <w:r w:rsidR="006501CC" w:rsidRPr="00F97381">
        <w:rPr>
          <w:b/>
        </w:rPr>
        <w:t xml:space="preserve">concluded </w:t>
      </w:r>
      <w:r w:rsidR="006501CC">
        <w:rPr>
          <w:b/>
        </w:rPr>
        <w:t>that irrespective of whether the</w:t>
      </w:r>
      <w:r w:rsidR="006501CC" w:rsidRPr="00F97381">
        <w:rPr>
          <w:b/>
        </w:rPr>
        <w:t xml:space="preserve"> same or different SMTCs </w:t>
      </w:r>
      <w:r w:rsidR="006501CC">
        <w:rPr>
          <w:b/>
        </w:rPr>
        <w:t xml:space="preserve">are </w:t>
      </w:r>
      <w:r w:rsidR="006501CC" w:rsidRPr="00F97381">
        <w:rPr>
          <w:b/>
        </w:rPr>
        <w:t>configured in two MOs (one by MN, another by SN), t</w:t>
      </w:r>
      <w:r w:rsidR="006501CC">
        <w:rPr>
          <w:b/>
        </w:rPr>
        <w:t>hose</w:t>
      </w:r>
      <w:r w:rsidR="006501CC" w:rsidRPr="00F97381">
        <w:rPr>
          <w:b/>
        </w:rPr>
        <w:t xml:space="preserve"> are always counted as two</w:t>
      </w:r>
      <w:r w:rsidR="006501CC">
        <w:rPr>
          <w:b/>
        </w:rPr>
        <w:t xml:space="preserve"> MOs</w:t>
      </w:r>
      <w:r w:rsidR="006501CC" w:rsidRPr="00F97381">
        <w:rPr>
          <w:b/>
        </w:rPr>
        <w:t xml:space="preserve"> in UE even if SMTCs are exactly same.</w:t>
      </w:r>
      <w:r>
        <w:rPr>
          <w:b/>
        </w:rPr>
        <w:fldChar w:fldCharType="end"/>
      </w:r>
    </w:p>
    <w:p w14:paraId="1B2F2416" w14:textId="0D19BBD6" w:rsidR="00F21EA4" w:rsidRPr="00F21EA4" w:rsidRDefault="00F21EA4" w:rsidP="00CD4C7B">
      <w:pPr>
        <w:rPr>
          <w:b/>
        </w:rPr>
      </w:pPr>
      <w:r w:rsidRPr="00F21EA4">
        <w:rPr>
          <w:b/>
        </w:rPr>
        <w:fldChar w:fldCharType="begin"/>
      </w:r>
      <w:r w:rsidRPr="00F21EA4">
        <w:rPr>
          <w:b/>
        </w:rPr>
        <w:instrText xml:space="preserve"> REF _Ref528338166 \r \h </w:instrText>
      </w:r>
      <w:r>
        <w:rPr>
          <w:b/>
        </w:rPr>
        <w:instrText xml:space="preserve"> \* MERGEFORMAT </w:instrText>
      </w:r>
      <w:r w:rsidRPr="00F21EA4">
        <w:rPr>
          <w:b/>
        </w:rPr>
      </w:r>
      <w:r w:rsidRPr="00F21EA4">
        <w:rPr>
          <w:b/>
        </w:rPr>
        <w:fldChar w:fldCharType="separate"/>
      </w:r>
      <w:r w:rsidR="00FC0F9B">
        <w:rPr>
          <w:b/>
        </w:rPr>
        <w:t>Proposal 1:</w:t>
      </w:r>
      <w:r w:rsidRPr="00F21EA4">
        <w:rPr>
          <w:b/>
        </w:rPr>
        <w:fldChar w:fldCharType="end"/>
      </w:r>
      <w:r w:rsidRPr="00F21EA4">
        <w:rPr>
          <w:b/>
        </w:rPr>
        <w:t xml:space="preserve"> </w:t>
      </w:r>
      <w:r w:rsidRPr="00F21EA4">
        <w:rPr>
          <w:b/>
        </w:rPr>
        <w:fldChar w:fldCharType="begin"/>
      </w:r>
      <w:r w:rsidRPr="00F21EA4">
        <w:rPr>
          <w:b/>
        </w:rPr>
        <w:instrText xml:space="preserve"> REF _Ref528338166 \h </w:instrText>
      </w:r>
      <w:r>
        <w:rPr>
          <w:b/>
        </w:rPr>
        <w:instrText xml:space="preserve"> \* MERGEFORMAT </w:instrText>
      </w:r>
      <w:r w:rsidRPr="00F21EA4">
        <w:rPr>
          <w:b/>
        </w:rPr>
      </w:r>
      <w:r w:rsidRPr="00F21EA4">
        <w:rPr>
          <w:b/>
        </w:rPr>
        <w:fldChar w:fldCharType="separate"/>
      </w:r>
      <w:r w:rsidR="006501CC" w:rsidRPr="00F97381">
        <w:rPr>
          <w:b/>
        </w:rPr>
        <w:t>It shall be possible to configure NR measurement objects, one configured by MN, another by SN, with different SMTCs. In this case – those are counted as two separate MOs</w:t>
      </w:r>
      <w:r w:rsidR="006501CC">
        <w:rPr>
          <w:b/>
        </w:rPr>
        <w:t xml:space="preserve"> and RAN4 is responsible for defining relevant UE requirements.</w:t>
      </w:r>
      <w:r w:rsidRPr="00F21EA4">
        <w:rPr>
          <w:b/>
        </w:rPr>
        <w:fldChar w:fldCharType="end"/>
      </w:r>
    </w:p>
    <w:p w14:paraId="0FDCFAC2" w14:textId="77777777" w:rsidR="00CD4C7B" w:rsidRPr="006E13D1" w:rsidRDefault="00CD4C7B" w:rsidP="00CD4C7B">
      <w:pPr>
        <w:pStyle w:val="Heading1"/>
      </w:pPr>
      <w:r w:rsidRPr="006E13D1">
        <w:t>References</w:t>
      </w:r>
    </w:p>
    <w:p w14:paraId="4AA5C936" w14:textId="29CEAE71" w:rsidR="00CD4C7B" w:rsidRDefault="00723FB0" w:rsidP="00723FB0">
      <w:pPr>
        <w:numPr>
          <w:ilvl w:val="0"/>
          <w:numId w:val="4"/>
        </w:numPr>
        <w:overflowPunct w:val="0"/>
        <w:autoSpaceDE w:val="0"/>
        <w:autoSpaceDN w:val="0"/>
        <w:adjustRightInd w:val="0"/>
        <w:textAlignment w:val="baseline"/>
      </w:pPr>
      <w:bookmarkStart w:id="5" w:name="_Ref528163267"/>
      <w:r>
        <w:t xml:space="preserve">R2-1815943 </w:t>
      </w:r>
      <w:r w:rsidRPr="00723FB0">
        <w:rPr>
          <w:i/>
        </w:rPr>
        <w:t>Correction to configuration of measurement object</w:t>
      </w:r>
      <w:r w:rsidR="0013227A">
        <w:t>, 3GPP TSG-RAN WG2 M</w:t>
      </w:r>
      <w:r>
        <w:t xml:space="preserve">eeting #103bis Chengdu, China, </w:t>
      </w:r>
      <w:r w:rsidR="0013227A">
        <w:t>8 - 12 October 2018</w:t>
      </w:r>
      <w:bookmarkEnd w:id="5"/>
    </w:p>
    <w:p w14:paraId="33C60255" w14:textId="2A0915C4" w:rsidR="003E3938" w:rsidRDefault="003E3938" w:rsidP="003E3938">
      <w:pPr>
        <w:numPr>
          <w:ilvl w:val="0"/>
          <w:numId w:val="4"/>
        </w:numPr>
        <w:overflowPunct w:val="0"/>
        <w:autoSpaceDE w:val="0"/>
        <w:autoSpaceDN w:val="0"/>
        <w:adjustRightInd w:val="0"/>
        <w:textAlignment w:val="baseline"/>
      </w:pPr>
      <w:bookmarkStart w:id="6" w:name="_Ref528161917"/>
      <w:bookmarkStart w:id="7" w:name="_Ref75086397"/>
      <w:r>
        <w:t>3GPP RAN2#103bis Chairman Notes</w:t>
      </w:r>
      <w:bookmarkEnd w:id="6"/>
    </w:p>
    <w:p w14:paraId="3994DA58" w14:textId="007E5D02" w:rsidR="00F53673" w:rsidRDefault="00F53673" w:rsidP="003E3938">
      <w:pPr>
        <w:numPr>
          <w:ilvl w:val="0"/>
          <w:numId w:val="4"/>
        </w:numPr>
        <w:overflowPunct w:val="0"/>
        <w:autoSpaceDE w:val="0"/>
        <w:autoSpaceDN w:val="0"/>
        <w:adjustRightInd w:val="0"/>
        <w:textAlignment w:val="baseline"/>
      </w:pPr>
      <w:bookmarkStart w:id="8" w:name="_Ref528335530"/>
      <w:r>
        <w:t>TS 38.331</w:t>
      </w:r>
      <w:bookmarkEnd w:id="8"/>
      <w:r w:rsidR="005531F1">
        <w:t xml:space="preserve"> NR Radio Resource Protocol, v15.3.0 (September 2018) </w:t>
      </w:r>
    </w:p>
    <w:p w14:paraId="6F40D5F8" w14:textId="1DA6AFA8" w:rsidR="006F4FE3" w:rsidRPr="006E13D1" w:rsidRDefault="006F4FE3" w:rsidP="005531F1">
      <w:pPr>
        <w:numPr>
          <w:ilvl w:val="0"/>
          <w:numId w:val="4"/>
        </w:numPr>
        <w:overflowPunct w:val="0"/>
        <w:autoSpaceDE w:val="0"/>
        <w:autoSpaceDN w:val="0"/>
        <w:adjustRightInd w:val="0"/>
        <w:textAlignment w:val="baseline"/>
      </w:pPr>
      <w:bookmarkStart w:id="9" w:name="_Ref528337507"/>
      <w:r>
        <w:t xml:space="preserve">R4-1812136 </w:t>
      </w:r>
      <w:r w:rsidRPr="005531F1">
        <w:rPr>
          <w:i/>
        </w:rPr>
        <w:t>CR on UE measurement capability with MOs con</w:t>
      </w:r>
      <w:r w:rsidR="005531F1" w:rsidRPr="005531F1">
        <w:rPr>
          <w:i/>
        </w:rPr>
        <w:t>figured by MN and SN,</w:t>
      </w:r>
      <w:r w:rsidR="005531F1">
        <w:t xml:space="preserve"> 3GPP TSG-RAN4 Meeting #88bis Chengdu, China, 8 – 12 Oct</w:t>
      </w:r>
      <w:r w:rsidR="00E12EFD">
        <w:t>ober</w:t>
      </w:r>
      <w:r w:rsidR="005531F1">
        <w:t xml:space="preserve"> 2018</w:t>
      </w:r>
      <w:bookmarkEnd w:id="9"/>
    </w:p>
    <w:bookmarkEnd w:id="7"/>
    <w:p w14:paraId="7906F7B2" w14:textId="77777777" w:rsidR="003E3938" w:rsidRDefault="003E3938" w:rsidP="003E3938">
      <w:pPr>
        <w:overflowPunct w:val="0"/>
        <w:autoSpaceDE w:val="0"/>
        <w:autoSpaceDN w:val="0"/>
        <w:adjustRightInd w:val="0"/>
        <w:ind w:left="357"/>
        <w:textAlignment w:val="baseline"/>
      </w:pP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4056A3" w14:textId="77777777" w:rsidR="00046E5C" w:rsidRDefault="00046E5C">
      <w:r>
        <w:separator/>
      </w:r>
    </w:p>
  </w:endnote>
  <w:endnote w:type="continuationSeparator" w:id="0">
    <w:p w14:paraId="68C6B70B" w14:textId="77777777" w:rsidR="00046E5C" w:rsidRDefault="00046E5C">
      <w:r>
        <w:continuationSeparator/>
      </w:r>
    </w:p>
  </w:endnote>
  <w:endnote w:type="continuationNotice" w:id="1">
    <w:p w14:paraId="5F5AAC81" w14:textId="77777777" w:rsidR="00A63D81" w:rsidRDefault="00A63D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349D0" w14:textId="77777777" w:rsidR="00046E5C" w:rsidRDefault="00046E5C">
      <w:r>
        <w:separator/>
      </w:r>
    </w:p>
  </w:footnote>
  <w:footnote w:type="continuationSeparator" w:id="0">
    <w:p w14:paraId="06F92F4F" w14:textId="77777777" w:rsidR="00046E5C" w:rsidRDefault="00046E5C">
      <w:r>
        <w:continuationSeparator/>
      </w:r>
    </w:p>
  </w:footnote>
  <w:footnote w:type="continuationNotice" w:id="1">
    <w:p w14:paraId="23AD9F0A" w14:textId="77777777" w:rsidR="00A63D81" w:rsidRDefault="00A63D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51EC8"/>
    <w:multiLevelType w:val="hybridMultilevel"/>
    <w:tmpl w:val="6E54E882"/>
    <w:lvl w:ilvl="0" w:tplc="42DC5E12">
      <w:start w:val="1"/>
      <w:numFmt w:val="decimal"/>
      <w:lvlText w:val="Observation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0039A8"/>
    <w:multiLevelType w:val="hybridMultilevel"/>
    <w:tmpl w:val="6CF44E52"/>
    <w:lvl w:ilvl="0" w:tplc="366C4988">
      <w:start w:val="1"/>
      <w:numFmt w:val="decimal"/>
      <w:lvlText w:val="Proposal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86E2211"/>
    <w:multiLevelType w:val="hybridMultilevel"/>
    <w:tmpl w:val="C1C41BB2"/>
    <w:lvl w:ilvl="0" w:tplc="9E2CA278">
      <w:start w:val="1"/>
      <w:numFmt w:val="decimal"/>
      <w:lvlText w:val="Observation %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E2C5B1C"/>
    <w:multiLevelType w:val="hybridMultilevel"/>
    <w:tmpl w:val="11DC941E"/>
    <w:lvl w:ilvl="0" w:tplc="4E50ACA4">
      <w:start w:val="2"/>
      <w:numFmt w:val="decimal"/>
      <w:lvlText w:val="Observation %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6E5C"/>
    <w:rsid w:val="00080512"/>
    <w:rsid w:val="00090468"/>
    <w:rsid w:val="000B7BCF"/>
    <w:rsid w:val="000B7EB5"/>
    <w:rsid w:val="000C428F"/>
    <w:rsid w:val="000C522B"/>
    <w:rsid w:val="000D0C19"/>
    <w:rsid w:val="000D31C2"/>
    <w:rsid w:val="000D58AB"/>
    <w:rsid w:val="00112F1A"/>
    <w:rsid w:val="00131BCA"/>
    <w:rsid w:val="0013227A"/>
    <w:rsid w:val="00145075"/>
    <w:rsid w:val="00171AA2"/>
    <w:rsid w:val="001741A0"/>
    <w:rsid w:val="00175FA0"/>
    <w:rsid w:val="00194CD0"/>
    <w:rsid w:val="001B49C9"/>
    <w:rsid w:val="001C0F08"/>
    <w:rsid w:val="001C4F79"/>
    <w:rsid w:val="001F168B"/>
    <w:rsid w:val="001F7831"/>
    <w:rsid w:val="00204045"/>
    <w:rsid w:val="0020712B"/>
    <w:rsid w:val="0022606D"/>
    <w:rsid w:val="00231728"/>
    <w:rsid w:val="002610D8"/>
    <w:rsid w:val="002747EC"/>
    <w:rsid w:val="002855BF"/>
    <w:rsid w:val="002C4BDC"/>
    <w:rsid w:val="002E23CD"/>
    <w:rsid w:val="002F0D22"/>
    <w:rsid w:val="003172DC"/>
    <w:rsid w:val="003208C6"/>
    <w:rsid w:val="00325AE3"/>
    <w:rsid w:val="00326069"/>
    <w:rsid w:val="0035462D"/>
    <w:rsid w:val="00364B41"/>
    <w:rsid w:val="00367BA9"/>
    <w:rsid w:val="003774B2"/>
    <w:rsid w:val="003A41EF"/>
    <w:rsid w:val="003B40AD"/>
    <w:rsid w:val="003C4E37"/>
    <w:rsid w:val="003D50A5"/>
    <w:rsid w:val="003E13ED"/>
    <w:rsid w:val="003E16BE"/>
    <w:rsid w:val="003E3938"/>
    <w:rsid w:val="003E6F0C"/>
    <w:rsid w:val="003F4E28"/>
    <w:rsid w:val="004006E8"/>
    <w:rsid w:val="00401855"/>
    <w:rsid w:val="00477455"/>
    <w:rsid w:val="004A1F7B"/>
    <w:rsid w:val="004C44D2"/>
    <w:rsid w:val="004D3578"/>
    <w:rsid w:val="004D380D"/>
    <w:rsid w:val="004E213A"/>
    <w:rsid w:val="004F4894"/>
    <w:rsid w:val="00503171"/>
    <w:rsid w:val="00506C28"/>
    <w:rsid w:val="00534DA0"/>
    <w:rsid w:val="00543E6C"/>
    <w:rsid w:val="005531F1"/>
    <w:rsid w:val="00565087"/>
    <w:rsid w:val="0056573F"/>
    <w:rsid w:val="00591F78"/>
    <w:rsid w:val="005A7F02"/>
    <w:rsid w:val="005B40C9"/>
    <w:rsid w:val="00611566"/>
    <w:rsid w:val="00646D99"/>
    <w:rsid w:val="006501CC"/>
    <w:rsid w:val="00656910"/>
    <w:rsid w:val="006C216C"/>
    <w:rsid w:val="006C66D8"/>
    <w:rsid w:val="006D1E24"/>
    <w:rsid w:val="006E1417"/>
    <w:rsid w:val="006F103A"/>
    <w:rsid w:val="006F2BF6"/>
    <w:rsid w:val="006F4FE3"/>
    <w:rsid w:val="006F6A2C"/>
    <w:rsid w:val="00710201"/>
    <w:rsid w:val="00723FB0"/>
    <w:rsid w:val="007342B5"/>
    <w:rsid w:val="00734A5B"/>
    <w:rsid w:val="0074054F"/>
    <w:rsid w:val="00744E76"/>
    <w:rsid w:val="00757D40"/>
    <w:rsid w:val="00781659"/>
    <w:rsid w:val="00781F0F"/>
    <w:rsid w:val="0078727C"/>
    <w:rsid w:val="0079049D"/>
    <w:rsid w:val="00793DC5"/>
    <w:rsid w:val="007B18D8"/>
    <w:rsid w:val="007B5CF0"/>
    <w:rsid w:val="007C095F"/>
    <w:rsid w:val="007C2DD0"/>
    <w:rsid w:val="008009E7"/>
    <w:rsid w:val="008028A4"/>
    <w:rsid w:val="00813245"/>
    <w:rsid w:val="008768CA"/>
    <w:rsid w:val="00877EF9"/>
    <w:rsid w:val="00880559"/>
    <w:rsid w:val="008B5306"/>
    <w:rsid w:val="008D2E4D"/>
    <w:rsid w:val="008D4382"/>
    <w:rsid w:val="008D7C3F"/>
    <w:rsid w:val="008F396F"/>
    <w:rsid w:val="0090271F"/>
    <w:rsid w:val="00902DB9"/>
    <w:rsid w:val="0090466A"/>
    <w:rsid w:val="00906086"/>
    <w:rsid w:val="009241AA"/>
    <w:rsid w:val="00936071"/>
    <w:rsid w:val="00940212"/>
    <w:rsid w:val="00942EC2"/>
    <w:rsid w:val="00961B32"/>
    <w:rsid w:val="00970DB3"/>
    <w:rsid w:val="00974BB0"/>
    <w:rsid w:val="0098615C"/>
    <w:rsid w:val="0099544E"/>
    <w:rsid w:val="009A0AF3"/>
    <w:rsid w:val="009B07CD"/>
    <w:rsid w:val="009C19E9"/>
    <w:rsid w:val="009D74A6"/>
    <w:rsid w:val="00A10F02"/>
    <w:rsid w:val="00A204CA"/>
    <w:rsid w:val="00A244E6"/>
    <w:rsid w:val="00A53724"/>
    <w:rsid w:val="00A56870"/>
    <w:rsid w:val="00A63D81"/>
    <w:rsid w:val="00A82346"/>
    <w:rsid w:val="00A9671C"/>
    <w:rsid w:val="00AA1553"/>
    <w:rsid w:val="00AA49D7"/>
    <w:rsid w:val="00B05962"/>
    <w:rsid w:val="00B15449"/>
    <w:rsid w:val="00B27303"/>
    <w:rsid w:val="00B47FD1"/>
    <w:rsid w:val="00B516BB"/>
    <w:rsid w:val="00BC3555"/>
    <w:rsid w:val="00BE43A8"/>
    <w:rsid w:val="00C07523"/>
    <w:rsid w:val="00C12B51"/>
    <w:rsid w:val="00C21D0F"/>
    <w:rsid w:val="00C24650"/>
    <w:rsid w:val="00C25465"/>
    <w:rsid w:val="00C33079"/>
    <w:rsid w:val="00C34D79"/>
    <w:rsid w:val="00C4794A"/>
    <w:rsid w:val="00C83A13"/>
    <w:rsid w:val="00C9068C"/>
    <w:rsid w:val="00C92967"/>
    <w:rsid w:val="00CA3D0C"/>
    <w:rsid w:val="00CA654B"/>
    <w:rsid w:val="00CB72B8"/>
    <w:rsid w:val="00CD4C7B"/>
    <w:rsid w:val="00CD5CBF"/>
    <w:rsid w:val="00D33BE3"/>
    <w:rsid w:val="00D3792D"/>
    <w:rsid w:val="00D45599"/>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D0785"/>
    <w:rsid w:val="00DD444E"/>
    <w:rsid w:val="00E12EFD"/>
    <w:rsid w:val="00E471CF"/>
    <w:rsid w:val="00E62835"/>
    <w:rsid w:val="00E77645"/>
    <w:rsid w:val="00E8175B"/>
    <w:rsid w:val="00E83697"/>
    <w:rsid w:val="00EC4A25"/>
    <w:rsid w:val="00EC73B4"/>
    <w:rsid w:val="00EF00D9"/>
    <w:rsid w:val="00F025A2"/>
    <w:rsid w:val="00F07388"/>
    <w:rsid w:val="00F2026E"/>
    <w:rsid w:val="00F21EA4"/>
    <w:rsid w:val="00F2210A"/>
    <w:rsid w:val="00F37743"/>
    <w:rsid w:val="00F53673"/>
    <w:rsid w:val="00F54A3D"/>
    <w:rsid w:val="00F54CB0"/>
    <w:rsid w:val="00F653B8"/>
    <w:rsid w:val="00F71B89"/>
    <w:rsid w:val="00F7353C"/>
    <w:rsid w:val="00F76F8F"/>
    <w:rsid w:val="00F941DF"/>
    <w:rsid w:val="00F97381"/>
    <w:rsid w:val="00FA1266"/>
    <w:rsid w:val="00FB36FA"/>
    <w:rsid w:val="00FC0F9B"/>
    <w:rsid w:val="00FC1192"/>
    <w:rsid w:val="00FD767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320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A7F02"/>
    <w:pPr>
      <w:ind w:left="720"/>
      <w:contextualSpacing/>
    </w:pPr>
  </w:style>
  <w:style w:type="character" w:styleId="CommentReference">
    <w:name w:val="annotation reference"/>
    <w:basedOn w:val="DefaultParagraphFont"/>
    <w:rsid w:val="001C0F08"/>
    <w:rPr>
      <w:sz w:val="16"/>
      <w:szCs w:val="16"/>
    </w:rPr>
  </w:style>
  <w:style w:type="paragraph" w:styleId="CommentText">
    <w:name w:val="annotation text"/>
    <w:basedOn w:val="Normal"/>
    <w:link w:val="CommentTextChar"/>
    <w:rsid w:val="001C0F08"/>
  </w:style>
  <w:style w:type="character" w:customStyle="1" w:styleId="CommentTextChar">
    <w:name w:val="Comment Text Char"/>
    <w:basedOn w:val="DefaultParagraphFont"/>
    <w:link w:val="CommentText"/>
    <w:rsid w:val="001C0F08"/>
    <w:rPr>
      <w:lang w:eastAsia="en-US"/>
    </w:rPr>
  </w:style>
  <w:style w:type="paragraph" w:styleId="CommentSubject">
    <w:name w:val="annotation subject"/>
    <w:basedOn w:val="CommentText"/>
    <w:next w:val="CommentText"/>
    <w:link w:val="CommentSubjectChar"/>
    <w:rsid w:val="001C0F08"/>
    <w:rPr>
      <w:b/>
      <w:bCs/>
    </w:rPr>
  </w:style>
  <w:style w:type="character" w:customStyle="1" w:styleId="CommentSubjectChar">
    <w:name w:val="Comment Subject Char"/>
    <w:basedOn w:val="CommentTextChar"/>
    <w:link w:val="CommentSubject"/>
    <w:rsid w:val="001C0F08"/>
    <w:rPr>
      <w:b/>
      <w:bCs/>
      <w:lang w:eastAsia="en-US"/>
    </w:rPr>
  </w:style>
  <w:style w:type="paragraph" w:customStyle="1" w:styleId="Doc-title">
    <w:name w:val="Doc-title"/>
    <w:basedOn w:val="Normal"/>
    <w:next w:val="Doc-text2"/>
    <w:link w:val="Doc-titleChar"/>
    <w:qFormat/>
    <w:rsid w:val="00723FB0"/>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723F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23FB0"/>
    <w:rPr>
      <w:rFonts w:ascii="Arial" w:eastAsia="MS Mincho" w:hAnsi="Arial"/>
      <w:szCs w:val="24"/>
    </w:rPr>
  </w:style>
  <w:style w:type="character" w:customStyle="1" w:styleId="Doc-titleChar">
    <w:name w:val="Doc-title Char"/>
    <w:link w:val="Doc-title"/>
    <w:rsid w:val="00723FB0"/>
    <w:rPr>
      <w:rFonts w:ascii="Arial" w:eastAsia="MS Mincho" w:hAnsi="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87892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5AIRPNAIUNRU-859666464-4052</_dlc_DocId>
    <_dlc_DocIdUrl xmlns="71c5aaf6-e6ce-465b-b873-5148d2a4c105">
      <Url>https://nokia.sharepoint.com/sites/c5g/e2earch/_layouts/15/DocIdRedir.aspx?ID=5AIRPNAIUNRU-859666464-4052</Url>
      <Description>5AIRPNAIUNRU-859666464-4052</Description>
    </_dlc_DocIdUrl>
  </documentManagement>
</p:propertie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D1FF41-9130-4FBF-B742-64100F73850B}">
  <ds:schemaRefs>
    <ds:schemaRef ds:uri="http://purl.org/dc/terms/"/>
    <ds:schemaRef ds:uri="a3840f4f-04be-43d1-b2ef-6ff1382503c7"/>
    <ds:schemaRef ds:uri="http://www.w3.org/XML/1998/namespace"/>
    <ds:schemaRef ds:uri="http://schemas.microsoft.com/office/2006/documentManagement/types"/>
    <ds:schemaRef ds:uri="83f22d2f-d16e-4be6-ad4f-29fa0b067c3c"/>
    <ds:schemaRef ds:uri="3b34c8f0-1ef5-4d1e-bb66-517ce7fe7356"/>
    <ds:schemaRef ds:uri="http://purl.org/dc/elements/1.1/"/>
    <ds:schemaRef ds:uri="71c5aaf6-e6ce-465b-b873-5148d2a4c105"/>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161</TotalTime>
  <Pages>2</Pages>
  <Words>925</Words>
  <Characters>5467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6380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Nokia</cp:lastModifiedBy>
  <cp:revision>47</cp:revision>
  <dcterms:created xsi:type="dcterms:W3CDTF">2018-10-24T14:20:00Z</dcterms:created>
  <dcterms:modified xsi:type="dcterms:W3CDTF">2018-11-01T19:49:00Z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c471b706-5c9b-477f-8700-84c6f1e2426f</vt:lpwstr>
  </property>
</Properties>
</file>